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81"/>
        <w:tblW w:w="14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10965"/>
      </w:tblGrid>
      <w:tr w:rsidR="008C20FB" w:rsidRPr="00BE30E9" w:rsidTr="00FE5F1F">
        <w:trPr>
          <w:trHeight w:val="340"/>
        </w:trPr>
        <w:tc>
          <w:tcPr>
            <w:tcW w:w="14465" w:type="dxa"/>
            <w:gridSpan w:val="2"/>
          </w:tcPr>
          <w:p w:rsidR="008C20FB" w:rsidRPr="00BE30E9" w:rsidRDefault="008C20FB" w:rsidP="00295523">
            <w:pPr>
              <w:widowControl w:val="0"/>
              <w:ind w:left="-5"/>
              <w:jc w:val="center"/>
              <w:rPr>
                <w:rFonts w:eastAsia="Arial" w:cstheme="minorHAnsi"/>
                <w:b/>
                <w:color w:val="000000"/>
                <w:sz w:val="36"/>
                <w:szCs w:val="36"/>
                <w:lang w:val="en-US"/>
              </w:rPr>
            </w:pPr>
            <w:r w:rsidRPr="00BE30E9">
              <w:rPr>
                <w:rFonts w:eastAsia="Arial" w:cstheme="minorHAnsi"/>
                <w:b/>
                <w:color w:val="000000"/>
                <w:sz w:val="36"/>
                <w:szCs w:val="36"/>
                <w:lang w:val="en-US"/>
              </w:rPr>
              <w:t>SPECIAL SERVICES PROTOCOL</w:t>
            </w:r>
          </w:p>
        </w:tc>
      </w:tr>
      <w:tr w:rsidR="008C20FB" w:rsidRPr="009D6CBE" w:rsidTr="00FE5F1F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030"/>
        </w:trPr>
        <w:tc>
          <w:tcPr>
            <w:tcW w:w="3500" w:type="dxa"/>
          </w:tcPr>
          <w:p w:rsidR="008C20FB" w:rsidRPr="00BE30E9" w:rsidRDefault="008C20FB" w:rsidP="00295523">
            <w:pPr>
              <w:rPr>
                <w:b/>
                <w:sz w:val="28"/>
                <w:szCs w:val="28"/>
                <w:lang w:val="en-US"/>
              </w:rPr>
            </w:pPr>
            <w:bookmarkStart w:id="0" w:name="_gjdgxs" w:colFirst="0" w:colLast="0"/>
            <w:bookmarkEnd w:id="0"/>
            <w:r w:rsidRPr="00BE30E9">
              <w:rPr>
                <w:b/>
                <w:sz w:val="28"/>
                <w:szCs w:val="28"/>
                <w:lang w:val="en-US"/>
              </w:rPr>
              <w:t>Category:</w:t>
            </w:r>
          </w:p>
        </w:tc>
        <w:tc>
          <w:tcPr>
            <w:tcW w:w="10965" w:type="dxa"/>
          </w:tcPr>
          <w:p w:rsidR="008C20FB" w:rsidRPr="00BE30E9" w:rsidRDefault="008C20FB" w:rsidP="008C20FB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E30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Regulations</w:t>
            </w:r>
            <w:r w:rsidRPr="00BE30E9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: 1302.62 Additional services for parents.</w:t>
            </w:r>
          </w:p>
          <w:p w:rsidR="008C20FB" w:rsidRPr="00BE30E9" w:rsidRDefault="008C20FB" w:rsidP="0029552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8C20FB" w:rsidRPr="00BE30E9" w:rsidTr="00FE5F1F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80"/>
        </w:trPr>
        <w:tc>
          <w:tcPr>
            <w:tcW w:w="3500" w:type="dxa"/>
          </w:tcPr>
          <w:p w:rsidR="008C20FB" w:rsidRPr="00BE30E9" w:rsidRDefault="008C20FB" w:rsidP="00295523">
            <w:pPr>
              <w:rPr>
                <w:sz w:val="28"/>
                <w:szCs w:val="28"/>
                <w:lang w:val="en-US"/>
              </w:rPr>
            </w:pPr>
            <w:r w:rsidRPr="00BE30E9">
              <w:rPr>
                <w:b/>
                <w:sz w:val="28"/>
                <w:szCs w:val="28"/>
                <w:lang w:val="en-US"/>
              </w:rPr>
              <w:t>Purpose:</w:t>
            </w:r>
          </w:p>
        </w:tc>
        <w:tc>
          <w:tcPr>
            <w:tcW w:w="10965" w:type="dxa"/>
          </w:tcPr>
          <w:p w:rsidR="008C20FB" w:rsidRPr="00BE30E9" w:rsidRDefault="008C20FB" w:rsidP="00295523">
            <w:pPr>
              <w:rPr>
                <w:b/>
                <w:sz w:val="28"/>
                <w:szCs w:val="28"/>
                <w:lang w:val="en-US"/>
              </w:rPr>
            </w:pPr>
            <w:r w:rsidRPr="00BE30E9">
              <w:rPr>
                <w:b/>
                <w:sz w:val="28"/>
                <w:szCs w:val="28"/>
                <w:lang w:val="en-US"/>
              </w:rPr>
              <w:t>Activity / Steps</w:t>
            </w:r>
          </w:p>
        </w:tc>
      </w:tr>
      <w:tr w:rsidR="008C20FB" w:rsidRPr="009D6CBE" w:rsidTr="00FE5F1F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781"/>
        </w:trPr>
        <w:tc>
          <w:tcPr>
            <w:tcW w:w="3500" w:type="dxa"/>
          </w:tcPr>
          <w:p w:rsidR="008C20FB" w:rsidRPr="00BE30E9" w:rsidRDefault="008C20FB" w:rsidP="008C20F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30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Meetings </w:t>
            </w:r>
            <w:r w:rsidRPr="00BE30E9">
              <w:rPr>
                <w:rFonts w:ascii="Calibri" w:hAnsi="Calibri" w:cs="Calibri"/>
                <w:b/>
                <w:bCs/>
                <w:color w:val="000000"/>
                <w:lang w:val="en-US"/>
              </w:rPr>
              <w:br/>
            </w:r>
            <w:r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(Classroom Staff, Special Services Content Specialist and the referring party - School Districts and/or Agencies)</w:t>
            </w:r>
          </w:p>
        </w:tc>
        <w:tc>
          <w:tcPr>
            <w:tcW w:w="10965" w:type="dxa"/>
          </w:tcPr>
          <w:p w:rsidR="008C20FB" w:rsidRPr="00BE30E9" w:rsidRDefault="008C20FB" w:rsidP="008C20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An initial meeting will be scheduled between teachers/H</w:t>
            </w:r>
            <w:r w:rsidR="003C36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ome </w:t>
            </w:r>
            <w:r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V</w:t>
            </w:r>
            <w:r w:rsidR="003C36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isitor</w:t>
            </w:r>
            <w:r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and parents to review the referral and discuss the concerns.</w:t>
            </w:r>
          </w:p>
          <w:p w:rsidR="008C20FB" w:rsidRPr="00BE30E9" w:rsidRDefault="008C20FB" w:rsidP="008C20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CTR (Consent to Release Information) form will be completed.</w:t>
            </w:r>
          </w:p>
          <w:p w:rsidR="008C20FB" w:rsidRPr="00BE30E9" w:rsidRDefault="008C20FB" w:rsidP="008C20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Further meetings will be scheduled and further plans will be made in regards to individualized planning for the student.</w:t>
            </w:r>
          </w:p>
          <w:p w:rsidR="008C20FB" w:rsidRPr="00BE30E9" w:rsidRDefault="008C20FB" w:rsidP="008C20FB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C20FB" w:rsidRPr="009D6CBE" w:rsidTr="00FE5F1F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981"/>
        </w:trPr>
        <w:tc>
          <w:tcPr>
            <w:tcW w:w="3500" w:type="dxa"/>
          </w:tcPr>
          <w:p w:rsidR="008C20FB" w:rsidRPr="00BE30E9" w:rsidRDefault="008C20FB" w:rsidP="0029552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8C20FB" w:rsidRPr="00BE30E9" w:rsidRDefault="008C20FB" w:rsidP="008C20F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E30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Specific Goals </w:t>
            </w:r>
          </w:p>
          <w:p w:rsidR="008C20FB" w:rsidRPr="00BE30E9" w:rsidRDefault="008C20FB" w:rsidP="0029552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965" w:type="dxa"/>
          </w:tcPr>
          <w:p w:rsidR="008C20FB" w:rsidRPr="00BE30E9" w:rsidRDefault="008E1395" w:rsidP="008C20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The classroom staff/h</w:t>
            </w:r>
            <w:r w:rsidR="003C36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ome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v</w:t>
            </w:r>
            <w:r w:rsidR="003C36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isitor</w:t>
            </w:r>
            <w:r w:rsidR="008C20FB"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the</w:t>
            </w:r>
            <w:r w:rsidR="008C20FB"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parents meet to develop a specific goal to support their child to meet the IFSP/IEP goal from home as Home Goal if they </w:t>
            </w:r>
            <w:r w:rsidR="00467507"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decide to.</w:t>
            </w:r>
          </w:p>
          <w:p w:rsidR="008C20FB" w:rsidRPr="00BE30E9" w:rsidRDefault="008E1395" w:rsidP="008C20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The p</w:t>
            </w:r>
            <w:r w:rsidR="008C20FB"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arents will keep track of the activities and ti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me they work on with their child at home using the Home Goal in-kind form</w:t>
            </w:r>
          </w:p>
          <w:p w:rsidR="008C20FB" w:rsidRPr="00BE30E9" w:rsidRDefault="008C20FB" w:rsidP="008C20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</w:t>
            </w:r>
            <w:r w:rsidR="008E139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he t</w:t>
            </w:r>
            <w:r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eacher</w:t>
            </w:r>
            <w:r w:rsidR="008E139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/h</w:t>
            </w:r>
            <w:r w:rsidR="003C36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ome </w:t>
            </w:r>
            <w:r w:rsidR="008E139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v</w:t>
            </w:r>
            <w:r w:rsidR="003C36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isitor</w:t>
            </w:r>
            <w:r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will provide to </w:t>
            </w:r>
            <w:r w:rsidR="008E139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the </w:t>
            </w:r>
            <w:r w:rsidR="009D6CB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parents,</w:t>
            </w:r>
            <w:r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info</w:t>
            </w:r>
            <w:r w:rsidR="008E139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rmation about progress on the goal at the visit, through data reports, </w:t>
            </w:r>
            <w:bookmarkStart w:id="1" w:name="_GoBack"/>
            <w:bookmarkEnd w:id="1"/>
            <w:r w:rsidR="008E139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and etc.</w:t>
            </w:r>
          </w:p>
          <w:p w:rsidR="008C20FB" w:rsidRPr="00BE30E9" w:rsidRDefault="008E1395" w:rsidP="008C20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The p</w:t>
            </w:r>
            <w:r w:rsidR="008C20FB"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rents are </w:t>
            </w:r>
            <w:r w:rsidR="009D6CB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being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able to </w:t>
            </w:r>
            <w:r w:rsidR="008C20FB"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change the goal whe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 they fell their child has mastered their goal or when the parent wants to explore a new goal.</w:t>
            </w:r>
          </w:p>
          <w:p w:rsidR="00467507" w:rsidRPr="00BE30E9" w:rsidRDefault="00467507" w:rsidP="008E13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</w:t>
            </w:r>
            <w:r w:rsidR="009D6CB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he teacher</w:t>
            </w:r>
            <w:r w:rsidR="008E139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/h</w:t>
            </w:r>
            <w:r w:rsidR="003C36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ome </w:t>
            </w:r>
            <w:r w:rsidR="008E139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v</w:t>
            </w:r>
            <w:r w:rsidR="003C36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isitor</w:t>
            </w:r>
            <w:r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will inform the SSCS if the IEP</w:t>
            </w:r>
            <w:r w:rsidR="003C36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/</w:t>
            </w:r>
            <w:r w:rsidR="008E139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IFSP goal needs to changed or updated.</w:t>
            </w:r>
            <w:r w:rsidR="008E1395"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C20FB" w:rsidRPr="009D6CBE" w:rsidTr="00FE5F1F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981"/>
        </w:trPr>
        <w:tc>
          <w:tcPr>
            <w:tcW w:w="3500" w:type="dxa"/>
          </w:tcPr>
          <w:p w:rsidR="008C20FB" w:rsidRPr="00BE30E9" w:rsidRDefault="008C20FB" w:rsidP="008C20F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E30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Transition from IFSP to IEP</w:t>
            </w:r>
          </w:p>
          <w:p w:rsidR="008C20FB" w:rsidRPr="00BE30E9" w:rsidRDefault="008C20FB" w:rsidP="008C20F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65" w:type="dxa"/>
          </w:tcPr>
          <w:p w:rsidR="008C20FB" w:rsidRPr="00BE30E9" w:rsidRDefault="008E1395" w:rsidP="008C20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The p</w:t>
            </w:r>
            <w:r w:rsidR="008C20FB"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arent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will attend the</w:t>
            </w:r>
            <w:r w:rsidR="00467507"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meeting with the school district when they screen the child and the School District must </w:t>
            </w:r>
            <w:r w:rsidR="008C20FB"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explain to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the</w:t>
            </w:r>
            <w:r w:rsidR="008C20FB"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parent if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their child qualifies </w:t>
            </w:r>
            <w:r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for</w:t>
            </w:r>
            <w:r w:rsidR="008C20FB" w:rsidRPr="00BE30E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an evaluation.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The p</w:t>
            </w:r>
            <w:r w:rsidR="003C36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arent or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the school district will</w:t>
            </w:r>
            <w:r w:rsidR="003C36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invite the SSCS, teacher,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and </w:t>
            </w:r>
            <w:r w:rsidR="003C36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or Home Visitor.</w:t>
            </w:r>
          </w:p>
        </w:tc>
      </w:tr>
      <w:tr w:rsidR="008C20FB" w:rsidRPr="00BE30E9" w:rsidTr="00FE5F1F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981"/>
        </w:trPr>
        <w:tc>
          <w:tcPr>
            <w:tcW w:w="3500" w:type="dxa"/>
          </w:tcPr>
          <w:p w:rsidR="008C20FB" w:rsidRPr="00BE30E9" w:rsidRDefault="008C20FB" w:rsidP="008C20F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8C20FB" w:rsidRPr="00BE30E9" w:rsidRDefault="008C20FB" w:rsidP="008C20F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E30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Transition from IEP to Kindergarten</w:t>
            </w:r>
          </w:p>
          <w:p w:rsidR="008C20FB" w:rsidRPr="00BE30E9" w:rsidRDefault="008C20FB" w:rsidP="008C20FB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965" w:type="dxa"/>
          </w:tcPr>
          <w:p w:rsidR="008C20FB" w:rsidRPr="00BE30E9" w:rsidRDefault="008C20FB" w:rsidP="008C20F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8C20FB" w:rsidRPr="00BE30E9" w:rsidRDefault="008C20FB" w:rsidP="008C20F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E30E9">
              <w:rPr>
                <w:rFonts w:ascii="Calibri" w:hAnsi="Calibri" w:cs="Calibri"/>
                <w:sz w:val="24"/>
                <w:szCs w:val="24"/>
                <w:lang w:val="en-US"/>
              </w:rPr>
              <w:t>This meeting will be schedule between the school district and the parents. SSCS or teacher will attend if needed or requested.</w:t>
            </w:r>
          </w:p>
          <w:p w:rsidR="008C20FB" w:rsidRPr="00BE30E9" w:rsidRDefault="008C20FB" w:rsidP="008C20FB">
            <w:pPr>
              <w:tabs>
                <w:tab w:val="left" w:pos="4035"/>
              </w:tabs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E30E9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</w:p>
        </w:tc>
      </w:tr>
    </w:tbl>
    <w:p w:rsidR="00390B91" w:rsidRDefault="00390B91">
      <w:pPr>
        <w:rPr>
          <w:lang w:val="en-US"/>
        </w:rPr>
      </w:pPr>
    </w:p>
    <w:p w:rsidR="00247EB6" w:rsidRPr="00390B91" w:rsidRDefault="00247EB6" w:rsidP="00390B91">
      <w:pPr>
        <w:rPr>
          <w:lang w:val="en-US"/>
        </w:rPr>
      </w:pPr>
    </w:p>
    <w:sectPr w:rsidR="00247EB6" w:rsidRPr="00390B91" w:rsidSect="008C20F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8D" w:rsidRDefault="00F7488D" w:rsidP="00F309DE">
      <w:pPr>
        <w:spacing w:after="0" w:line="240" w:lineRule="auto"/>
      </w:pPr>
      <w:r>
        <w:separator/>
      </w:r>
    </w:p>
  </w:endnote>
  <w:endnote w:type="continuationSeparator" w:id="0">
    <w:p w:rsidR="00F7488D" w:rsidRDefault="00F7488D" w:rsidP="00F3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0012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09DE" w:rsidRDefault="00F309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C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C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09DE" w:rsidRPr="00F309DE" w:rsidRDefault="00390B91">
    <w:pPr>
      <w:pStyle w:val="Footer"/>
      <w:rPr>
        <w:lang w:val="en-US"/>
      </w:rPr>
    </w:pPr>
    <w:r>
      <w:rPr>
        <w:lang w:val="en-US"/>
      </w:rPr>
      <w:t xml:space="preserve">Revised </w:t>
    </w:r>
    <w:r w:rsidR="009D6CBE">
      <w:rPr>
        <w:lang w:val="en-US"/>
      </w:rPr>
      <w:t>03/18/2022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8D" w:rsidRDefault="00F7488D" w:rsidP="00F309DE">
      <w:pPr>
        <w:spacing w:after="0" w:line="240" w:lineRule="auto"/>
      </w:pPr>
      <w:r>
        <w:separator/>
      </w:r>
    </w:p>
  </w:footnote>
  <w:footnote w:type="continuationSeparator" w:id="0">
    <w:p w:rsidR="00F7488D" w:rsidRDefault="00F7488D" w:rsidP="00F3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AE1"/>
    <w:multiLevelType w:val="hybridMultilevel"/>
    <w:tmpl w:val="24C890A6"/>
    <w:lvl w:ilvl="0" w:tplc="4D1EC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363"/>
    <w:multiLevelType w:val="hybridMultilevel"/>
    <w:tmpl w:val="83DAD220"/>
    <w:lvl w:ilvl="0" w:tplc="882686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5F5B"/>
    <w:multiLevelType w:val="hybridMultilevel"/>
    <w:tmpl w:val="E266F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F6ACC"/>
    <w:multiLevelType w:val="hybridMultilevel"/>
    <w:tmpl w:val="D81C3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6716A"/>
    <w:multiLevelType w:val="hybridMultilevel"/>
    <w:tmpl w:val="676C2B0E"/>
    <w:lvl w:ilvl="0" w:tplc="882686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B33FF"/>
    <w:multiLevelType w:val="hybridMultilevel"/>
    <w:tmpl w:val="557E4A94"/>
    <w:lvl w:ilvl="0" w:tplc="4D1EC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E3476"/>
    <w:multiLevelType w:val="hybridMultilevel"/>
    <w:tmpl w:val="8636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5646B"/>
    <w:multiLevelType w:val="hybridMultilevel"/>
    <w:tmpl w:val="09FE9120"/>
    <w:lvl w:ilvl="0" w:tplc="882686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728EC"/>
    <w:multiLevelType w:val="hybridMultilevel"/>
    <w:tmpl w:val="47E457EA"/>
    <w:lvl w:ilvl="0" w:tplc="4D1EC5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EC0104"/>
    <w:multiLevelType w:val="hybridMultilevel"/>
    <w:tmpl w:val="872AFEA8"/>
    <w:lvl w:ilvl="0" w:tplc="4D1EC5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FB"/>
    <w:rsid w:val="00247EB6"/>
    <w:rsid w:val="00390B91"/>
    <w:rsid w:val="003C3622"/>
    <w:rsid w:val="00467507"/>
    <w:rsid w:val="008C20FB"/>
    <w:rsid w:val="008E1395"/>
    <w:rsid w:val="00977801"/>
    <w:rsid w:val="009D66B7"/>
    <w:rsid w:val="009D6CBE"/>
    <w:rsid w:val="00BE30E9"/>
    <w:rsid w:val="00F309DE"/>
    <w:rsid w:val="00F7488D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8EBA"/>
  <w15:chartTrackingRefBased/>
  <w15:docId w15:val="{F8E79671-349F-4828-947D-97108070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FB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639D-1AAA-442A-AC37-B8DDB69C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Valencia</dc:creator>
  <cp:keywords/>
  <dc:description/>
  <cp:lastModifiedBy>Maria Valencia</cp:lastModifiedBy>
  <cp:revision>2</cp:revision>
  <dcterms:created xsi:type="dcterms:W3CDTF">2022-03-17T17:18:00Z</dcterms:created>
  <dcterms:modified xsi:type="dcterms:W3CDTF">2022-03-17T17:18:00Z</dcterms:modified>
</cp:coreProperties>
</file>